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r6lwb7pjcmp9" w:id="0"/>
      <w:bookmarkEnd w:id="0"/>
      <w:r w:rsidDel="00000000" w:rsidR="00000000" w:rsidRPr="00000000">
        <w:rPr>
          <w:b w:val="1"/>
          <w:color w:val="455358"/>
          <w:rtl w:val="0"/>
        </w:rPr>
        <w:t xml:space="preserve">Define</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the intending target group for a message, regardless of the medium</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line="319.9992" w:lineRule="auto"/>
        <w:ind w:left="0" w:firstLine="0"/>
        <w:rPr>
          <w:color w:val="455358"/>
          <w:sz w:val="24"/>
          <w:szCs w:val="24"/>
        </w:rPr>
      </w:pPr>
      <w:r w:rsidDel="00000000" w:rsidR="00000000" w:rsidRPr="00000000">
        <w:rPr>
          <w:rtl w:val="0"/>
        </w:rPr>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words, sentences, or passages that precede or follow a specific word, sentence or passage</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line="319.9992" w:lineRule="auto"/>
        <w:ind w:left="0" w:firstLine="0"/>
        <w:rPr>
          <w:color w:val="455358"/>
          <w:sz w:val="24"/>
          <w:szCs w:val="24"/>
        </w:rPr>
      </w:pPr>
      <w:r w:rsidDel="00000000" w:rsidR="00000000" w:rsidRPr="00000000">
        <w:rPr>
          <w:rtl w:val="0"/>
        </w:rPr>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a specific subject, idea, or issue that is the focus of a discussion, essay, article, or other work</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line="319.9992"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the intended goal of a piece of writing; the reason a person writes</w:t>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line="319.9992"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0A">
      <w:pPr>
        <w:rPr>
          <w:color w:val="45535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vahppnka2cqs" w:id="1"/>
      <w:bookmarkEnd w:id="1"/>
      <w:r w:rsidDel="00000000" w:rsidR="00000000" w:rsidRPr="00000000">
        <w:rPr>
          <w:b w:val="1"/>
          <w:color w:val="455358"/>
          <w:rtl w:val="0"/>
        </w:rPr>
        <w:t xml:space="preserve">4 Matching questions</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B</w:t>
      </w:r>
      <w:r w:rsidDel="00000000" w:rsidR="00000000" w:rsidRPr="00000000">
        <w:rPr>
          <w:color w:val="455358"/>
          <w:sz w:val="24"/>
          <w:szCs w:val="24"/>
          <w:rtl w:val="0"/>
        </w:rPr>
        <w:t xml:space="preserve">rainstorming</w:t>
      </w:r>
    </w:p>
    <w:p w:rsidR="00000000" w:rsidDel="00000000" w:rsidP="00000000" w:rsidRDefault="00000000" w:rsidRPr="00000000" w14:paraId="0000000D">
      <w:pPr>
        <w:numPr>
          <w:ilvl w:val="0"/>
          <w:numId w:val="4"/>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text evidence</w:t>
      </w:r>
    </w:p>
    <w:p w:rsidR="00000000" w:rsidDel="00000000" w:rsidP="00000000" w:rsidRDefault="00000000" w:rsidRPr="00000000" w14:paraId="0000000E">
      <w:pPr>
        <w:numPr>
          <w:ilvl w:val="0"/>
          <w:numId w:val="4"/>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Collaboration</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complete sentence</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ind w:right="120"/>
        <w:rPr>
          <w:color w:val="455358"/>
          <w:sz w:val="24"/>
          <w:szCs w:val="24"/>
        </w:rPr>
      </w:pPr>
      <w:r w:rsidDel="00000000" w:rsidR="00000000" w:rsidRPr="00000000">
        <w:rPr>
          <w:rtl w:val="0"/>
        </w:rPr>
      </w:r>
    </w:p>
    <w:p w:rsidR="00000000" w:rsidDel="00000000" w:rsidP="00000000" w:rsidRDefault="00000000" w:rsidRPr="00000000" w14:paraId="00000011">
      <w:pPr>
        <w:numPr>
          <w:ilvl w:val="0"/>
          <w:numId w:val="2"/>
        </w:numPr>
        <w:pBdr>
          <w:top w:color="auto" w:space="0" w:sz="0" w:val="none"/>
          <w:bottom w:color="auto" w:space="7" w:sz="0" w:val="none"/>
          <w:right w:color="auto" w:space="0" w:sz="0" w:val="none"/>
        </w:pBdr>
        <w:spacing w:after="0" w:afterAutospacing="0" w:line="390" w:lineRule="auto"/>
        <w:ind w:left="1440" w:hanging="360"/>
        <w:rPr>
          <w:color w:val="455358"/>
          <w:sz w:val="24"/>
          <w:szCs w:val="24"/>
          <w:u w:val="none"/>
        </w:rPr>
      </w:pPr>
      <w:r w:rsidDel="00000000" w:rsidR="00000000" w:rsidRPr="00000000">
        <w:rPr>
          <w:color w:val="455358"/>
          <w:sz w:val="24"/>
          <w:szCs w:val="24"/>
          <w:rtl w:val="0"/>
        </w:rPr>
        <w:t xml:space="preserve">the process of two or more people working together to create or achieve the same thing wherein each member speaks, is heard, and takes ownership of the resulting product or activity</w:t>
      </w:r>
    </w:p>
    <w:p w:rsidR="00000000" w:rsidDel="00000000" w:rsidP="00000000" w:rsidRDefault="00000000" w:rsidRPr="00000000" w14:paraId="00000012">
      <w:pPr>
        <w:numPr>
          <w:ilvl w:val="0"/>
          <w:numId w:val="2"/>
        </w:numPr>
        <w:pBdr>
          <w:top w:color="auto" w:space="0" w:sz="0" w:val="none"/>
          <w:bottom w:color="auto" w:space="7" w:sz="0" w:val="none"/>
          <w:right w:color="auto" w:space="0" w:sz="0" w:val="none"/>
        </w:pBdr>
        <w:spacing w:after="0" w:afterAutospacing="0" w:line="390" w:lineRule="auto"/>
        <w:ind w:left="1440" w:hanging="360"/>
        <w:rPr>
          <w:color w:val="455358"/>
          <w:sz w:val="24"/>
          <w:szCs w:val="24"/>
          <w:u w:val="none"/>
        </w:rPr>
      </w:pPr>
      <w:r w:rsidDel="00000000" w:rsidR="00000000" w:rsidRPr="00000000">
        <w:rPr>
          <w:color w:val="455358"/>
          <w:sz w:val="24"/>
          <w:szCs w:val="24"/>
          <w:rtl w:val="0"/>
        </w:rPr>
        <w:t xml:space="preserve">a technique in which many ideas are generated quickly and without judgment or evaluation usually as part of a problem-solving process or to inspire creative thinking.</w:t>
      </w:r>
    </w:p>
    <w:p w:rsidR="00000000" w:rsidDel="00000000" w:rsidP="00000000" w:rsidRDefault="00000000" w:rsidRPr="00000000" w14:paraId="00000013">
      <w:pPr>
        <w:numPr>
          <w:ilvl w:val="0"/>
          <w:numId w:val="2"/>
        </w:numPr>
        <w:pBdr>
          <w:top w:color="auto" w:space="0" w:sz="0" w:val="none"/>
          <w:bottom w:color="auto" w:space="7" w:sz="0" w:val="none"/>
          <w:right w:color="auto" w:space="0" w:sz="0" w:val="none"/>
        </w:pBdr>
        <w:spacing w:after="0" w:afterAutospacing="0" w:line="390" w:lineRule="auto"/>
        <w:ind w:left="1440" w:hanging="360"/>
        <w:rPr>
          <w:color w:val="455358"/>
          <w:sz w:val="24"/>
          <w:szCs w:val="24"/>
          <w:u w:val="none"/>
        </w:rPr>
      </w:pPr>
      <w:r w:rsidDel="00000000" w:rsidR="00000000" w:rsidRPr="00000000">
        <w:rPr>
          <w:color w:val="455358"/>
          <w:sz w:val="24"/>
          <w:szCs w:val="24"/>
          <w:rtl w:val="0"/>
        </w:rPr>
        <w:t xml:space="preserve">an independent clause that contains a word or group of words expressing a complete thought that contains a subject (who or what) and a predicate (verb or action)</w:t>
      </w:r>
    </w:p>
    <w:p w:rsidR="00000000" w:rsidDel="00000000" w:rsidP="00000000" w:rsidRDefault="00000000" w:rsidRPr="00000000" w14:paraId="00000014">
      <w:pPr>
        <w:numPr>
          <w:ilvl w:val="0"/>
          <w:numId w:val="2"/>
        </w:numPr>
        <w:pBdr>
          <w:top w:color="auto" w:space="0" w:sz="0" w:val="none"/>
          <w:bottom w:color="auto" w:space="7" w:sz="0" w:val="none"/>
          <w:right w:color="auto" w:space="0" w:sz="0" w:val="none"/>
        </w:pBdr>
        <w:spacing w:after="160" w:line="390" w:lineRule="auto"/>
        <w:ind w:left="1440" w:hanging="360"/>
        <w:rPr>
          <w:color w:val="455358"/>
          <w:sz w:val="24"/>
          <w:szCs w:val="24"/>
          <w:u w:val="none"/>
        </w:rPr>
      </w:pPr>
      <w:r w:rsidDel="00000000" w:rsidR="00000000" w:rsidRPr="00000000">
        <w:rPr>
          <w:color w:val="455358"/>
          <w:sz w:val="24"/>
          <w:szCs w:val="24"/>
          <w:rtl w:val="0"/>
        </w:rPr>
        <w:t xml:space="preserve">paraphrased or directly quoted detail(s) from a text that supports a reader's claim, thought, inference, or analysis about the text</w:t>
      </w:r>
    </w:p>
    <w:p w:rsidR="00000000" w:rsidDel="00000000" w:rsidP="00000000" w:rsidRDefault="00000000" w:rsidRPr="00000000" w14:paraId="00000015">
      <w:pPr>
        <w:rPr>
          <w:color w:val="45535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mtool7t6s18e" w:id="2"/>
      <w:bookmarkEnd w:id="2"/>
      <w:r w:rsidDel="00000000" w:rsidR="00000000" w:rsidRPr="00000000">
        <w:rPr>
          <w:b w:val="1"/>
          <w:color w:val="455358"/>
          <w:rtl w:val="0"/>
        </w:rPr>
        <w:t xml:space="preserve">4 Multiple choice questions</w:t>
      </w:r>
    </w:p>
    <w:p w:rsidR="00000000" w:rsidDel="00000000" w:rsidP="00000000" w:rsidRDefault="00000000" w:rsidRPr="00000000" w14:paraId="00000017">
      <w:pPr>
        <w:numPr>
          <w:ilvl w:val="0"/>
          <w:numId w:val="5"/>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a stage in the writing process when a written text is prepared for an audience by attending to and correcting mechanics, grammar, and spelling</w:t>
      </w:r>
    </w:p>
    <w:p w:rsidR="00000000" w:rsidDel="00000000" w:rsidP="00000000" w:rsidRDefault="00000000" w:rsidRPr="00000000" w14:paraId="00000018">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annotating</w:t>
      </w:r>
    </w:p>
    <w:p w:rsidR="00000000" w:rsidDel="00000000" w:rsidP="00000000" w:rsidRDefault="00000000" w:rsidRPr="00000000" w14:paraId="00000019">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brainstorming</w:t>
      </w:r>
    </w:p>
    <w:p w:rsidR="00000000" w:rsidDel="00000000" w:rsidP="00000000" w:rsidRDefault="00000000" w:rsidRPr="00000000" w14:paraId="0000001A">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editing</w:t>
      </w:r>
    </w:p>
    <w:p w:rsidR="00000000" w:rsidDel="00000000" w:rsidP="00000000" w:rsidRDefault="00000000" w:rsidRPr="00000000" w14:paraId="0000001B">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D. decoding</w:t>
      </w:r>
    </w:p>
    <w:p w:rsidR="00000000" w:rsidDel="00000000" w:rsidP="00000000" w:rsidRDefault="00000000" w:rsidRPr="00000000" w14:paraId="0000001C">
      <w:pPr>
        <w:numPr>
          <w:ilvl w:val="0"/>
          <w:numId w:val="5"/>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a word having more than one syllable</w:t>
      </w:r>
    </w:p>
    <w:p w:rsidR="00000000" w:rsidDel="00000000" w:rsidP="00000000" w:rsidRDefault="00000000" w:rsidRPr="00000000" w14:paraId="0000001D">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brainstorming</w:t>
      </w:r>
    </w:p>
    <w:p w:rsidR="00000000" w:rsidDel="00000000" w:rsidP="00000000" w:rsidRDefault="00000000" w:rsidRPr="00000000" w14:paraId="0000001E">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When is brainstorming done?</w:t>
      </w:r>
    </w:p>
    <w:p w:rsidR="00000000" w:rsidDel="00000000" w:rsidP="00000000" w:rsidRDefault="00000000" w:rsidRPr="00000000" w14:paraId="0000001F">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audience</w:t>
      </w:r>
    </w:p>
    <w:p w:rsidR="00000000" w:rsidDel="00000000" w:rsidP="00000000" w:rsidRDefault="00000000" w:rsidRPr="00000000" w14:paraId="00000020">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D. multi-syllabic word</w:t>
      </w:r>
    </w:p>
    <w:p w:rsidR="00000000" w:rsidDel="00000000" w:rsidP="00000000" w:rsidRDefault="00000000" w:rsidRPr="00000000" w14:paraId="00000021">
      <w:pPr>
        <w:numPr>
          <w:ilvl w:val="0"/>
          <w:numId w:val="5"/>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applying knowledge of letter-sound relationships in order to sound out a word; in reading practice, the term is used primarily to refer to worked identification rather than word comprehension.</w:t>
      </w:r>
    </w:p>
    <w:p w:rsidR="00000000" w:rsidDel="00000000" w:rsidP="00000000" w:rsidRDefault="00000000" w:rsidRPr="00000000" w14:paraId="00000022">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annotating</w:t>
      </w:r>
    </w:p>
    <w:p w:rsidR="00000000" w:rsidDel="00000000" w:rsidP="00000000" w:rsidRDefault="00000000" w:rsidRPr="00000000" w14:paraId="00000023">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decoding</w:t>
      </w:r>
    </w:p>
    <w:p w:rsidR="00000000" w:rsidDel="00000000" w:rsidP="00000000" w:rsidRDefault="00000000" w:rsidRPr="00000000" w14:paraId="00000024">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d. fragment</w:t>
      </w:r>
    </w:p>
    <w:p w:rsidR="00000000" w:rsidDel="00000000" w:rsidP="00000000" w:rsidRDefault="00000000" w:rsidRPr="00000000" w14:paraId="00000025">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editing</w:t>
      </w:r>
    </w:p>
    <w:p w:rsidR="00000000" w:rsidDel="00000000" w:rsidP="00000000" w:rsidRDefault="00000000" w:rsidRPr="00000000" w14:paraId="00000026">
      <w:pPr>
        <w:numPr>
          <w:ilvl w:val="0"/>
          <w:numId w:val="5"/>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the reason an author writes about a particular topic (to persuade, to entertain, to inform, to explain, to analyze); the reason an author includes particular details, features, or devices in a work.</w:t>
      </w:r>
    </w:p>
    <w:p w:rsidR="00000000" w:rsidDel="00000000" w:rsidP="00000000" w:rsidRDefault="00000000" w:rsidRPr="00000000" w14:paraId="00000027">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brainstorming</w:t>
      </w:r>
    </w:p>
    <w:p w:rsidR="00000000" w:rsidDel="00000000" w:rsidP="00000000" w:rsidRDefault="00000000" w:rsidRPr="00000000" w14:paraId="00000028">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author's purpose</w:t>
      </w:r>
    </w:p>
    <w:p w:rsidR="00000000" w:rsidDel="00000000" w:rsidP="00000000" w:rsidRDefault="00000000" w:rsidRPr="00000000" w14:paraId="00000029">
      <w:pPr>
        <w:numPr>
          <w:ilvl w:val="1"/>
          <w:numId w:val="5"/>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collaboration</w:t>
      </w:r>
    </w:p>
    <w:p w:rsidR="00000000" w:rsidDel="00000000" w:rsidP="00000000" w:rsidRDefault="00000000" w:rsidRPr="00000000" w14:paraId="0000002A">
      <w:pPr>
        <w:numPr>
          <w:ilvl w:val="1"/>
          <w:numId w:val="5"/>
        </w:numPr>
        <w:pBdr>
          <w:top w:color="auto" w:space="0" w:sz="0" w:val="none"/>
          <w:bottom w:color="auto" w:space="0" w:sz="0" w:val="none"/>
          <w:right w:color="auto" w:space="0" w:sz="0" w:val="none"/>
          <w:between w:color="auto" w:space="0" w:sz="0" w:val="none"/>
        </w:pBdr>
        <w:spacing w:after="620" w:line="390" w:lineRule="auto"/>
        <w:ind w:left="1440" w:hanging="360"/>
      </w:pPr>
      <w:r w:rsidDel="00000000" w:rsidR="00000000" w:rsidRPr="00000000">
        <w:rPr>
          <w:color w:val="455358"/>
          <w:sz w:val="24"/>
          <w:szCs w:val="24"/>
          <w:rtl w:val="0"/>
        </w:rPr>
        <w:t xml:space="preserve">D. text evidence</w:t>
      </w:r>
    </w:p>
    <w:p w:rsidR="00000000" w:rsidDel="00000000" w:rsidP="00000000" w:rsidRDefault="00000000" w:rsidRPr="00000000" w14:paraId="0000002B">
      <w:pPr>
        <w:rPr>
          <w:color w:val="45535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u0jamqcmg96n" w:id="3"/>
      <w:bookmarkEnd w:id="3"/>
      <w:r w:rsidDel="00000000" w:rsidR="00000000" w:rsidRPr="00000000">
        <w:rPr>
          <w:b w:val="1"/>
          <w:color w:val="455358"/>
          <w:rtl w:val="0"/>
        </w:rPr>
        <w:t xml:space="preserve">3 True/False questions</w:t>
      </w:r>
    </w:p>
    <w:p w:rsidR="00000000" w:rsidDel="00000000" w:rsidP="00000000" w:rsidRDefault="00000000" w:rsidRPr="00000000" w14:paraId="0000002D">
      <w:pPr>
        <w:numPr>
          <w:ilvl w:val="0"/>
          <w:numId w:val="3"/>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adding notes or comments to a text to mark significant features and/or personal commentary → editing</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2F">
      <w:pPr>
        <w:numPr>
          <w:ilvl w:val="0"/>
          <w:numId w:val="3"/>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an incorrect sentence structure that occurs when a sentence is incomplete because it is missing a subject or predicate → fragment</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31">
      <w:pPr>
        <w:numPr>
          <w:ilvl w:val="0"/>
          <w:numId w:val="3"/>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Brainstorming may be done in a classroom, with a small group, or individually → When is brainstorming done?</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600" w:before="160" w:line="390" w:lineRule="auto"/>
        <w:ind w:left="0" w:firstLine="0"/>
        <w:rPr>
          <w:color w:val="455358"/>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color w:val="45535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rFonts w:ascii="Arial" w:cs="Arial" w:eastAsia="Arial" w:hAnsi="Arial"/>
        <w:b w:val="0"/>
        <w:color w:val="45535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rFonts w:ascii="Arial" w:cs="Arial" w:eastAsia="Arial" w:hAnsi="Arial"/>
        <w:b w:val="0"/>
        <w:color w:val="455358"/>
        <w:sz w:val="24"/>
        <w:szCs w:val="24"/>
        <w:u w:val="none"/>
      </w:rPr>
    </w:lvl>
    <w:lvl w:ilvl="1">
      <w:start w:val="1"/>
      <w:numFmt w:val="bullet"/>
      <w:lvlText w:val=""/>
      <w:lvlJc w:val="left"/>
      <w:pPr>
        <w:ind w:left="1440" w:hanging="360"/>
      </w:pPr>
      <w:rPr>
        <w:rFonts w:ascii="Arial" w:cs="Arial" w:eastAsia="Arial" w:hAnsi="Arial"/>
        <w:b w:val="0"/>
        <w:color w:val="455358"/>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