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List of Dispositions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Qualities Important to Future Teachers and Educational Professionals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A. Personal qualities important to the teaching/education profession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1. Possesses integrity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2. Is highly motivated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3. Displays perseverance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4. Exhibits self-control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5. Is punctual and reliable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6. Presents a professional appearance and demeanor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7. Accepts responsibility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8. Evidences high academic achievement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9. Takes initiative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10. Shows maturity of judgment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11. Demonstrates warmth and advocacy for children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B. Qualities important to collaboration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1. Establishes rapport with others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2. Works well with others and communicates respectfully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3. Values teamwork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4. Demonstrates a commitment to achieving team goals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5. Assumes appropriate roles in the collaborative process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6. Demonstrates effective communication skills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7. Demonstrates a respectful appreciation for diverse perspectives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8. Seeks to develop and maintain professional workplace relationships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C. Commitment to professional growth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1. Responds appropriately to supervision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2. Accepts constructive criticism and suggestions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3. Uses suggestions to improve skills and understanding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4. Strives to achieve competence and integrity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5. Reflects on/evaluates strengths and areas for improvement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6. Displays interest and curiosity in the learning process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7. Values life-long learning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8. Is a self-directed learner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D. Commitment to diversity and social justice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1. Demonstrates cultural respect and understanding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2. Displays sensitivity to ethnically, linguistically, cognitively, physically, socially diverse groups and individuals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3. Treats all people equally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4. Believes in equal educational/vocational opportunity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5. Advocates high and appropriate expectations for all students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E. Commitment to ethical practices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1. Maintains confidentiality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2. Is honest and trustworthy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3. Uses sound, informed judgment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4. Displays ethical behavior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5. Abides by legal mandates and ethical responsibilities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